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6B4D" w14:textId="77777777" w:rsidR="00AA6DAE" w:rsidRPr="00AA6DAE" w:rsidRDefault="00AA6DAE" w:rsidP="00AA6DAE">
      <w:pPr>
        <w:rPr>
          <w:sz w:val="22"/>
          <w:szCs w:val="22"/>
        </w:rPr>
      </w:pPr>
      <w:r w:rsidRPr="00AA6DAE">
        <w:rPr>
          <w:sz w:val="22"/>
          <w:szCs w:val="22"/>
        </w:rPr>
        <w:t>Dear [Manager's Name],</w:t>
      </w:r>
    </w:p>
    <w:p w14:paraId="5CA939E5" w14:textId="77777777" w:rsidR="00AA6DAE" w:rsidRPr="00AA6DAE" w:rsidRDefault="00AA6DAE" w:rsidP="00AA6DAE">
      <w:pPr>
        <w:rPr>
          <w:sz w:val="22"/>
          <w:szCs w:val="22"/>
        </w:rPr>
      </w:pPr>
      <w:r w:rsidRPr="00AA6DAE">
        <w:rPr>
          <w:sz w:val="22"/>
          <w:szCs w:val="22"/>
        </w:rPr>
        <w:t xml:space="preserve">I am writing to request approval to attend Drug Discovery Europe 2026, taking place 15–16 June at the </w:t>
      </w:r>
      <w:proofErr w:type="spellStart"/>
      <w:r w:rsidRPr="00AA6DAE">
        <w:rPr>
          <w:sz w:val="22"/>
          <w:szCs w:val="22"/>
        </w:rPr>
        <w:t>Estrel</w:t>
      </w:r>
      <w:proofErr w:type="spellEnd"/>
      <w:r w:rsidRPr="00AA6DAE">
        <w:rPr>
          <w:sz w:val="22"/>
          <w:szCs w:val="22"/>
        </w:rPr>
        <w:t xml:space="preserve"> Congress Centre in Berlin. The event brings together over 1,000 senior scientists and R&amp;D leaders from pharma, biotech and AI-driven platforms, and this year's neuroscience programme is directly relevant to the work we are doing.</w:t>
      </w:r>
    </w:p>
    <w:p w14:paraId="631EE69F" w14:textId="77777777" w:rsidR="00AA6DAE" w:rsidRPr="00AA6DAE" w:rsidRDefault="00AA6DAE" w:rsidP="00AA6DAE">
      <w:pPr>
        <w:rPr>
          <w:sz w:val="22"/>
          <w:szCs w:val="22"/>
        </w:rPr>
      </w:pPr>
      <w:r w:rsidRPr="00AA6DAE">
        <w:rPr>
          <w:b/>
          <w:bCs/>
          <w:sz w:val="22"/>
          <w:szCs w:val="22"/>
        </w:rPr>
        <w:t>Why this event, why now:</w:t>
      </w:r>
      <w:r w:rsidRPr="00AA6DAE">
        <w:rPr>
          <w:sz w:val="22"/>
          <w:szCs w:val="22"/>
        </w:rPr>
        <w:t xml:space="preserve"> Neuroscience drug development is at an inflection point. Novel targets, improved biomarkers, and better translational models are beginning to shift what is possible in a field that has seen decades of high-profile failures. The question being openly debated right now is whether neuroscience is the next oncology — and Drug Discovery Europe 2026 dedicates a full two-day programme to answering it. This is where the peer organisations leading that charge will be presenting their data, their strategies, and their setbacks in real time. Missing it means missing the benchmark.</w:t>
      </w:r>
    </w:p>
    <w:p w14:paraId="33825933" w14:textId="77777777" w:rsidR="00AA6DAE" w:rsidRPr="00AA6DAE" w:rsidRDefault="00AA6DAE" w:rsidP="00AA6DAE">
      <w:pPr>
        <w:rPr>
          <w:sz w:val="22"/>
          <w:szCs w:val="22"/>
        </w:rPr>
      </w:pPr>
      <w:r w:rsidRPr="00AA6DAE">
        <w:rPr>
          <w:b/>
          <w:bCs/>
          <w:sz w:val="22"/>
          <w:szCs w:val="22"/>
        </w:rPr>
        <w:t>What attending gives us:</w:t>
      </w:r>
    </w:p>
    <w:p w14:paraId="2AA4C189" w14:textId="77777777" w:rsidR="00AA6DAE" w:rsidRPr="00AA6DAE" w:rsidRDefault="00AA6DAE" w:rsidP="00AA6DAE">
      <w:pPr>
        <w:numPr>
          <w:ilvl w:val="0"/>
          <w:numId w:val="1"/>
        </w:numPr>
        <w:rPr>
          <w:sz w:val="22"/>
          <w:szCs w:val="22"/>
        </w:rPr>
      </w:pPr>
      <w:r w:rsidRPr="00AA6DAE">
        <w:rPr>
          <w:sz w:val="22"/>
          <w:szCs w:val="22"/>
        </w:rPr>
        <w:t>A full two-day Neuroscience Drug Development programme spanning neurodegeneration, neuroimmunology, neuroinflammation, iPSC disease models, novel biomarkers, and the blood-brain barrier — directly applicable to our pipeline priorities.</w:t>
      </w:r>
    </w:p>
    <w:p w14:paraId="0DA16D9A" w14:textId="77777777" w:rsidR="00AA6DAE" w:rsidRPr="00AA6DAE" w:rsidRDefault="00AA6DAE" w:rsidP="00AA6DAE">
      <w:pPr>
        <w:numPr>
          <w:ilvl w:val="0"/>
          <w:numId w:val="1"/>
        </w:numPr>
        <w:rPr>
          <w:sz w:val="22"/>
          <w:szCs w:val="22"/>
        </w:rPr>
      </w:pPr>
      <w:r w:rsidRPr="00AA6DAE">
        <w:rPr>
          <w:sz w:val="22"/>
          <w:szCs w:val="22"/>
        </w:rPr>
        <w:t>Sessions on TREM2, RIPK1, SARM1, and other emerging neuroimmune targets, alongside single-cell atlases, iPSC-derived microglia, and translational insights from functional interventions including sleep modulation and sex-specific differences.</w:t>
      </w:r>
    </w:p>
    <w:p w14:paraId="04F675B4" w14:textId="77777777" w:rsidR="00AA6DAE" w:rsidRPr="00AA6DAE" w:rsidRDefault="00AA6DAE" w:rsidP="00AA6DAE">
      <w:pPr>
        <w:numPr>
          <w:ilvl w:val="0"/>
          <w:numId w:val="1"/>
        </w:numPr>
        <w:rPr>
          <w:sz w:val="22"/>
          <w:szCs w:val="22"/>
        </w:rPr>
      </w:pPr>
      <w:r w:rsidRPr="00AA6DAE">
        <w:rPr>
          <w:sz w:val="22"/>
          <w:szCs w:val="22"/>
        </w:rPr>
        <w:t>A dedicated closed-door session on partnerships, platforms and acquisitions in brain health innovation — for senior leaders only, not on the public agenda.</w:t>
      </w:r>
    </w:p>
    <w:p w14:paraId="7E0E3C2D" w14:textId="77777777" w:rsidR="00AA6DAE" w:rsidRPr="00AA6DAE" w:rsidRDefault="00AA6DAE" w:rsidP="00AA6DAE">
      <w:pPr>
        <w:numPr>
          <w:ilvl w:val="0"/>
          <w:numId w:val="1"/>
        </w:numPr>
        <w:rPr>
          <w:sz w:val="22"/>
          <w:szCs w:val="22"/>
        </w:rPr>
      </w:pPr>
      <w:r w:rsidRPr="00AA6DAE">
        <w:rPr>
          <w:sz w:val="22"/>
          <w:szCs w:val="22"/>
        </w:rPr>
        <w:t>600+ pre-arranged one-to-one meetings with profiled delegates and solution providers, each confirmed before arrival with full delegate profiles including research focus, challenges and buying stage.</w:t>
      </w:r>
    </w:p>
    <w:p w14:paraId="032776A0" w14:textId="77777777" w:rsidR="00AA6DAE" w:rsidRPr="00AA6DAE" w:rsidRDefault="00AA6DAE" w:rsidP="00AA6DAE">
      <w:pPr>
        <w:numPr>
          <w:ilvl w:val="0"/>
          <w:numId w:val="1"/>
        </w:numPr>
        <w:rPr>
          <w:sz w:val="22"/>
          <w:szCs w:val="22"/>
        </w:rPr>
      </w:pPr>
      <w:r w:rsidRPr="00AA6DAE">
        <w:rPr>
          <w:sz w:val="22"/>
          <w:szCs w:val="22"/>
        </w:rPr>
        <w:t>Keynotes from Paul Workman OBE FRS of the Institute of Cancer Research, Rafal Kaminski of Angelini Pharma on brain health as a global priority, Dave Hallett of Recursion, and Ingo Hartung of Merck Healthcare KGaA.</w:t>
      </w:r>
    </w:p>
    <w:p w14:paraId="1BFE775F" w14:textId="77777777" w:rsidR="00AA6DAE" w:rsidRPr="00AA6DAE" w:rsidRDefault="00AA6DAE" w:rsidP="00AA6DAE">
      <w:pPr>
        <w:numPr>
          <w:ilvl w:val="0"/>
          <w:numId w:val="1"/>
        </w:numPr>
        <w:rPr>
          <w:sz w:val="22"/>
          <w:szCs w:val="22"/>
        </w:rPr>
      </w:pPr>
      <w:r w:rsidRPr="00AA6DAE">
        <w:rPr>
          <w:sz w:val="22"/>
          <w:szCs w:val="22"/>
        </w:rPr>
        <w:t>Speakers confirmed from AstraZeneca, UCB, Lundbeck, Servier, Alzheimer's Research UK Oxford Drug Discovery Institute, Imperial College London, Kings College London, University of Copenhagen, and beyond.</w:t>
      </w:r>
    </w:p>
    <w:p w14:paraId="0C36478A" w14:textId="77777777" w:rsidR="00AA6DAE" w:rsidRPr="00AA6DAE" w:rsidRDefault="00AA6DAE" w:rsidP="00AA6DAE">
      <w:pPr>
        <w:rPr>
          <w:sz w:val="22"/>
          <w:szCs w:val="22"/>
        </w:rPr>
      </w:pPr>
      <w:r w:rsidRPr="00AA6DAE">
        <w:rPr>
          <w:sz w:val="22"/>
          <w:szCs w:val="22"/>
        </w:rPr>
        <w:t>My guest pass is complimentary. The only investment required is two days in Berlin.</w:t>
      </w:r>
    </w:p>
    <w:p w14:paraId="19634351" w14:textId="77777777" w:rsidR="00AA6DAE" w:rsidRPr="00AA6DAE" w:rsidRDefault="00AA6DAE" w:rsidP="00AA6DAE">
      <w:pPr>
        <w:rPr>
          <w:sz w:val="22"/>
          <w:szCs w:val="22"/>
        </w:rPr>
      </w:pPr>
      <w:r w:rsidRPr="00AA6DAE">
        <w:rPr>
          <w:sz w:val="22"/>
          <w:szCs w:val="22"/>
        </w:rPr>
        <w:t>I believe the return on time invested will be significant and would welcome your support in approving my attendance.</w:t>
      </w:r>
    </w:p>
    <w:p w14:paraId="101A2729" w14:textId="77777777" w:rsidR="00AA6DAE" w:rsidRPr="00AA6DAE" w:rsidRDefault="00AA6DAE" w:rsidP="00AA6DAE">
      <w:pPr>
        <w:rPr>
          <w:sz w:val="22"/>
          <w:szCs w:val="22"/>
        </w:rPr>
      </w:pPr>
      <w:r w:rsidRPr="00AA6DAE">
        <w:rPr>
          <w:sz w:val="22"/>
          <w:szCs w:val="22"/>
        </w:rPr>
        <w:t>[Your Name]</w:t>
      </w:r>
    </w:p>
    <w:p w14:paraId="30D66DDD" w14:textId="77777777" w:rsidR="00AA6DAE" w:rsidRPr="00AA6DAE" w:rsidRDefault="00AA6DAE">
      <w:pPr>
        <w:rPr>
          <w:sz w:val="22"/>
          <w:szCs w:val="22"/>
        </w:rPr>
      </w:pPr>
    </w:p>
    <w:sectPr w:rsidR="00AA6DAE" w:rsidRPr="00AA6D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55126"/>
    <w:multiLevelType w:val="multilevel"/>
    <w:tmpl w:val="BBA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95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AE"/>
    <w:rsid w:val="00491251"/>
    <w:rsid w:val="00AA6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609A"/>
  <w15:chartTrackingRefBased/>
  <w15:docId w15:val="{E1C3B3A6-8108-48E7-96E6-0E17D9D1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D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D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D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D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D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DAE"/>
    <w:rPr>
      <w:rFonts w:eastAsiaTheme="majorEastAsia" w:cstheme="majorBidi"/>
      <w:color w:val="272727" w:themeColor="text1" w:themeTint="D8"/>
    </w:rPr>
  </w:style>
  <w:style w:type="paragraph" w:styleId="Title">
    <w:name w:val="Title"/>
    <w:basedOn w:val="Normal"/>
    <w:next w:val="Normal"/>
    <w:link w:val="TitleChar"/>
    <w:uiPriority w:val="10"/>
    <w:qFormat/>
    <w:rsid w:val="00AA6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DAE"/>
    <w:pPr>
      <w:spacing w:before="160"/>
      <w:jc w:val="center"/>
    </w:pPr>
    <w:rPr>
      <w:i/>
      <w:iCs/>
      <w:color w:val="404040" w:themeColor="text1" w:themeTint="BF"/>
    </w:rPr>
  </w:style>
  <w:style w:type="character" w:customStyle="1" w:styleId="QuoteChar">
    <w:name w:val="Quote Char"/>
    <w:basedOn w:val="DefaultParagraphFont"/>
    <w:link w:val="Quote"/>
    <w:uiPriority w:val="29"/>
    <w:rsid w:val="00AA6DAE"/>
    <w:rPr>
      <w:i/>
      <w:iCs/>
      <w:color w:val="404040" w:themeColor="text1" w:themeTint="BF"/>
    </w:rPr>
  </w:style>
  <w:style w:type="paragraph" w:styleId="ListParagraph">
    <w:name w:val="List Paragraph"/>
    <w:basedOn w:val="Normal"/>
    <w:uiPriority w:val="34"/>
    <w:qFormat/>
    <w:rsid w:val="00AA6DAE"/>
    <w:pPr>
      <w:ind w:left="720"/>
      <w:contextualSpacing/>
    </w:pPr>
  </w:style>
  <w:style w:type="character" w:styleId="IntenseEmphasis">
    <w:name w:val="Intense Emphasis"/>
    <w:basedOn w:val="DefaultParagraphFont"/>
    <w:uiPriority w:val="21"/>
    <w:qFormat/>
    <w:rsid w:val="00AA6DAE"/>
    <w:rPr>
      <w:i/>
      <w:iCs/>
      <w:color w:val="0F4761" w:themeColor="accent1" w:themeShade="BF"/>
    </w:rPr>
  </w:style>
  <w:style w:type="paragraph" w:styleId="IntenseQuote">
    <w:name w:val="Intense Quote"/>
    <w:basedOn w:val="Normal"/>
    <w:next w:val="Normal"/>
    <w:link w:val="IntenseQuoteChar"/>
    <w:uiPriority w:val="30"/>
    <w:qFormat/>
    <w:rsid w:val="00AA6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DAE"/>
    <w:rPr>
      <w:i/>
      <w:iCs/>
      <w:color w:val="0F4761" w:themeColor="accent1" w:themeShade="BF"/>
    </w:rPr>
  </w:style>
  <w:style w:type="character" w:styleId="IntenseReference">
    <w:name w:val="Intense Reference"/>
    <w:basedOn w:val="DefaultParagraphFont"/>
    <w:uiPriority w:val="32"/>
    <w:qFormat/>
    <w:rsid w:val="00AA6D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Reynolds</dc:creator>
  <cp:keywords/>
  <dc:description/>
  <cp:lastModifiedBy>Billy Reynolds</cp:lastModifiedBy>
  <cp:revision>1</cp:revision>
  <dcterms:created xsi:type="dcterms:W3CDTF">2026-05-06T11:35:00Z</dcterms:created>
  <dcterms:modified xsi:type="dcterms:W3CDTF">2026-05-06T11:35:00Z</dcterms:modified>
</cp:coreProperties>
</file>